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16级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、20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17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级延期毕业生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返校参加</w:t>
      </w:r>
      <w:r>
        <w:rPr>
          <w:rFonts w:ascii="宋体" w:hAnsi="宋体" w:eastAsia="宋体" w:cs="宋体"/>
          <w:b/>
          <w:color w:val="333333"/>
          <w:kern w:val="0"/>
          <w:sz w:val="36"/>
          <w:szCs w:val="36"/>
          <w:lang w:val="en-US" w:eastAsia="zh-CN" w:bidi="ar"/>
        </w:rPr>
        <w:t>补考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本次考试考点设在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，考场设在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教学楼，所有参加考试的学生从学院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北区南门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所有区内参加考试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进入考点前须出示“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我的宁夏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二维</w:t>
      </w:r>
      <w:r>
        <w:rPr>
          <w:rFonts w:hint="eastAsia" w:ascii="仿宋_GB2312" w:hAnsi="仿宋_GB2312" w:eastAsia="仿宋_GB2312" w:cs="仿宋_GB2312"/>
          <w:sz w:val="32"/>
          <w:szCs w:val="32"/>
        </w:rPr>
        <w:t>码、测量体温、并登记相关信息，体温正常且“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我的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宁夏”二维码显示为绿码的，方可参加考试。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区外参加考试的学生进入考点前须扫描国家卫生健康委提供的“疫情风险等级查询”二维码，进入“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14天国内外行程查询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”系统，输入本人手机号及验证码，查询近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14天到达或途径地区，查询结果为“绿色行程卡”的学生，再进行测量体温、</w:t>
      </w:r>
      <w:r>
        <w:rPr>
          <w:rFonts w:hint="eastAsia" w:ascii="仿宋_GB2312" w:hAnsi="仿宋_GB2312" w:eastAsia="仿宋_GB2312" w:cs="仿宋_GB2312"/>
          <w:sz w:val="32"/>
          <w:szCs w:val="32"/>
        </w:rPr>
        <w:t>并登记相关信息，体温正常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190500</wp:posOffset>
            </wp:positionV>
            <wp:extent cx="1425575" cy="1438910"/>
            <wp:effectExtent l="0" t="0" r="3175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考试前14天内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有宁夏区外旅居史或与国内外疫情中高风险地区人员密切接触者，须提供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入校前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核酸检测结果报告单，检测结果为阴性方可参加考试。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）正处于隔离医学观察治疗或集中隔离观察期的确诊病例、疑似病例、复检阳性人员、无症状感染者的学生，不得参加考试。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全程携带有效身份证件，进入考点后须全程佩戴防护口罩，自觉接受工作人员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及监考老师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）排队等候时，要求保持间隔为1米以上的安全距离，考试结束后，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无特殊原因不得在考场滞留。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）考试期间如出现发热症状，须立即向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报告，按应急预案处置。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报名参加本次考试的学生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防疫有关要求，提前做好准备。如因个人原因造成不能参加考试的，后果由本人承担。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根据近期疫情发展，为确保每一位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的身体健康与安全，如遇政策调整，按最新的政策执行。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201A"/>
    <w:rsid w:val="1E3D195F"/>
    <w:rsid w:val="1F65031A"/>
    <w:rsid w:val="21A94CD4"/>
    <w:rsid w:val="25707B36"/>
    <w:rsid w:val="29C346C7"/>
    <w:rsid w:val="30E36E49"/>
    <w:rsid w:val="34642FA4"/>
    <w:rsid w:val="36203766"/>
    <w:rsid w:val="49C91BAA"/>
    <w:rsid w:val="4EA84607"/>
    <w:rsid w:val="5009201A"/>
    <w:rsid w:val="575768E3"/>
    <w:rsid w:val="5AD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2020-08-26T10:22:00Z</dcterms:created>
  <dc:creator>Administrator</dc:creator>
  <cp:lastModifiedBy>何振华</cp:lastModifiedBy>
  <cp:lastPrinted>2021-09-07T00:38:00Z</cp:lastPrinted>
  <dcterms:modified xsi:type="dcterms:W3CDTF">2021-09-07T01:48:50Z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B3676BBCADD64C6BB0F00E6C76E9A2BC</vt:lpwstr>
  </property>
</Properties>
</file>