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9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  <w:bookmarkStart w:id="6" w:name="_GoBack"/>
      <w:bookmarkEnd w:id="6"/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79" w:line="286" w:lineRule="auto"/>
        <w:ind w:left="2488" w:right="1089" w:hanging="1399"/>
        <w:outlineLvl w:val="0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spacing w:val="9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全国大学生职业规划大赛</w:t>
      </w:r>
      <w:r>
        <w:rPr>
          <w:rFonts w:ascii="宋体" w:hAnsi="宋体" w:eastAsia="宋体" w:cs="宋体"/>
          <w:spacing w:val="5"/>
          <w:sz w:val="55"/>
          <w:szCs w:val="55"/>
        </w:rPr>
        <w:t xml:space="preserve"> </w:t>
      </w:r>
      <w:r>
        <w:rPr>
          <w:rFonts w:ascii="宋体" w:hAnsi="宋体" w:eastAsia="宋体" w:cs="宋体"/>
          <w:spacing w:val="9"/>
          <w:sz w:val="55"/>
          <w:szCs w:val="55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学生操作手册</w:t>
      </w:r>
    </w:p>
    <w:p>
      <w:pPr>
        <w:spacing w:line="286" w:lineRule="auto"/>
        <w:rPr>
          <w:rFonts w:ascii="宋体" w:hAnsi="宋体" w:eastAsia="宋体" w:cs="宋体"/>
          <w:sz w:val="55"/>
          <w:szCs w:val="5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黑体" w:hAnsi="黑体" w:eastAsia="黑体" w:cs="黑体"/>
          <w:sz w:val="35"/>
          <w:szCs w:val="35"/>
        </w:rPr>
        <w:id w:val="1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31"/>
          <w:szCs w:val="31"/>
        </w:rPr>
      </w:sdtEndPr>
      <w:sdtContent>
        <w:p>
          <w:pPr>
            <w:spacing w:before="139" w:line="227" w:lineRule="auto"/>
            <w:ind w:left="3865"/>
            <w:rPr>
              <w:rFonts w:ascii="黑体" w:hAnsi="黑体" w:eastAsia="黑体" w:cs="黑体"/>
              <w:sz w:val="35"/>
              <w:szCs w:val="35"/>
            </w:rPr>
          </w:pPr>
          <w:r>
            <w:rPr>
              <w:rFonts w:ascii="黑体" w:hAnsi="黑体" w:eastAsia="黑体" w:cs="黑体"/>
              <w:spacing w:val="-20"/>
              <w:sz w:val="35"/>
              <w:szCs w:val="35"/>
            </w:rPr>
            <w:t>目录</w:t>
          </w:r>
        </w:p>
        <w:p>
          <w:pPr>
            <w:tabs>
              <w:tab w:val="right" w:leader="dot" w:pos="8317"/>
            </w:tabs>
            <w:spacing w:before="62"/>
            <w:ind w:left="14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黑体" w:hAnsi="黑体" w:eastAsia="黑体" w:cs="黑体"/>
              <w:position w:val="-19"/>
              <w:sz w:val="31"/>
              <w:szCs w:val="31"/>
            </w:rPr>
            <w:drawing>
              <wp:inline distT="0" distB="0" distL="0" distR="0">
                <wp:extent cx="0" cy="396240"/>
                <wp:effectExtent l="0" t="0" r="0" b="0"/>
                <wp:docPr id="2" name="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 2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96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黑体" w:hAnsi="黑体" w:eastAsia="黑体" w:cs="黑体"/>
              <w:position w:val="-19"/>
              <w:sz w:val="31"/>
              <w:szCs w:val="31"/>
            </w:rPr>
            <w:fldChar w:fldCharType="end"/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31"/>
              <w:szCs w:val="31"/>
            </w:rPr>
            <w:t>一、账号登录</w:t>
          </w:r>
          <w:r>
            <w:rPr>
              <w:rFonts w:ascii="黑体" w:hAnsi="黑体" w:eastAsia="黑体" w:cs="黑体"/>
              <w:spacing w:val="-86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31"/>
              <w:sz w:val="31"/>
              <w:szCs w:val="31"/>
            </w:rPr>
            <w:t>1</w:t>
          </w:r>
          <w:r>
            <w:rPr>
              <w:rFonts w:ascii="Calibri" w:hAnsi="Calibri" w:eastAsia="Calibri" w:cs="Calibri"/>
              <w:spacing w:val="3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317"/>
            </w:tabs>
            <w:spacing w:before="153" w:line="193" w:lineRule="auto"/>
            <w:ind w:left="31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31"/>
              <w:szCs w:val="31"/>
            </w:rPr>
            <w:t>二、报名参赛</w:t>
          </w:r>
          <w:r>
            <w:rPr>
              <w:rFonts w:ascii="黑体" w:hAnsi="黑体" w:eastAsia="黑体" w:cs="黑体"/>
              <w:spacing w:val="-91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31"/>
              <w:sz w:val="31"/>
              <w:szCs w:val="31"/>
            </w:rPr>
            <w:t>3</w:t>
          </w:r>
          <w:r>
            <w:rPr>
              <w:rFonts w:ascii="Calibri" w:hAnsi="Calibri" w:eastAsia="Calibri" w:cs="Calibri"/>
              <w:spacing w:val="31"/>
              <w:sz w:val="31"/>
              <w:szCs w:val="31"/>
            </w:rPr>
            <w:fldChar w:fldCharType="end"/>
          </w:r>
        </w:p>
        <w:p>
          <w:pPr>
            <w:tabs>
              <w:tab w:val="right" w:leader="dot" w:pos="8317"/>
            </w:tabs>
            <w:spacing w:before="300" w:line="228" w:lineRule="auto"/>
            <w:ind w:left="32"/>
            <w:rPr>
              <w:rFonts w:ascii="Calibri" w:hAnsi="Calibri" w:eastAsia="Calibri" w:cs="Calibri"/>
              <w:sz w:val="31"/>
              <w:szCs w:val="31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31"/>
              <w:szCs w:val="31"/>
            </w:rPr>
            <w:t>三、材料提交</w:t>
          </w:r>
          <w:r>
            <w:rPr>
              <w:rFonts w:ascii="黑体" w:hAnsi="黑体" w:eastAsia="黑体" w:cs="黑体"/>
              <w:spacing w:val="-87"/>
              <w:sz w:val="31"/>
              <w:szCs w:val="31"/>
            </w:rPr>
            <w:t xml:space="preserve"> </w:t>
          </w:r>
          <w:r>
            <w:rPr>
              <w:rFonts w:ascii="黑体" w:hAnsi="黑体" w:eastAsia="黑体" w:cs="黑体"/>
              <w:sz w:val="31"/>
              <w:szCs w:val="31"/>
            </w:rPr>
            <w:tab/>
          </w:r>
          <w:r>
            <w:rPr>
              <w:rFonts w:ascii="Calibri" w:hAnsi="Calibri" w:eastAsia="Calibri" w:cs="Calibri"/>
              <w:spacing w:val="31"/>
              <w:sz w:val="31"/>
              <w:szCs w:val="31"/>
            </w:rPr>
            <w:t>4</w:t>
          </w:r>
          <w:r>
            <w:rPr>
              <w:rFonts w:ascii="Calibri" w:hAnsi="Calibri" w:eastAsia="Calibri" w:cs="Calibri"/>
              <w:spacing w:val="31"/>
              <w:sz w:val="31"/>
              <w:szCs w:val="31"/>
            </w:rPr>
            <w:fldChar w:fldCharType="end"/>
          </w:r>
        </w:p>
      </w:sdtContent>
    </w:sdt>
    <w:p>
      <w:pPr>
        <w:spacing w:line="228" w:lineRule="auto"/>
        <w:rPr>
          <w:rFonts w:ascii="Calibri" w:hAnsi="Calibri" w:eastAsia="Calibri" w:cs="Calibri"/>
          <w:sz w:val="31"/>
          <w:szCs w:val="3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pStyle w:val="2"/>
        <w:spacing w:line="455" w:lineRule="auto"/>
      </w:pPr>
    </w:p>
    <w:p>
      <w:pPr>
        <w:spacing w:before="101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0" w:name="bookmark1"/>
      <w:bookmarkEnd w:id="0"/>
      <w:bookmarkStart w:id="1" w:name="bookmark5"/>
      <w:bookmarkEnd w:id="1"/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一、账号登录</w:t>
      </w:r>
    </w:p>
    <w:p>
      <w:pPr>
        <w:spacing w:before="229" w:line="562" w:lineRule="exact"/>
        <w:ind w:right="7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4"/>
          <w:position w:val="21"/>
          <w:sz w:val="28"/>
          <w:szCs w:val="28"/>
        </w:rPr>
        <w:t>1.在全国大学生职业规划大赛（以下简称“职规</w:t>
      </w:r>
      <w:r>
        <w:rPr>
          <w:rFonts w:ascii="仿宋" w:hAnsi="仿宋" w:eastAsia="仿宋" w:cs="仿宋"/>
          <w:color w:val="333333"/>
          <w:spacing w:val="-5"/>
          <w:position w:val="21"/>
          <w:sz w:val="28"/>
          <w:szCs w:val="28"/>
        </w:rPr>
        <w:t>赛”）官网首页</w:t>
      </w:r>
    </w:p>
    <w:p>
      <w:pPr>
        <w:spacing w:before="1" w:line="217" w:lineRule="auto"/>
        <w:ind w:left="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处，点击</w:t>
      </w:r>
      <w:r>
        <w:rPr>
          <w:rFonts w:ascii="仿宋" w:hAnsi="仿宋" w:eastAsia="仿宋" w:cs="仿宋"/>
          <w:color w:val="333333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“报名参赛”或</w:t>
      </w:r>
      <w:r>
        <w:rPr>
          <w:rFonts w:ascii="仿宋" w:hAnsi="仿宋" w:eastAsia="仿宋" w:cs="仿宋"/>
          <w:color w:val="333333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“登录”进入登录页面。</w:t>
      </w:r>
    </w:p>
    <w:p>
      <w:pPr>
        <w:pStyle w:val="2"/>
        <w:spacing w:line="433" w:lineRule="auto"/>
      </w:pPr>
    </w:p>
    <w:p>
      <w:pPr>
        <w:pStyle w:val="2"/>
        <w:spacing w:line="4156" w:lineRule="exact"/>
        <w:ind w:firstLine="13"/>
      </w:pPr>
      <w:r>
        <w:rPr>
          <w:position w:val="-83"/>
        </w:rPr>
        <w:pict>
          <v:group id="_x0000_s1026" o:spid="_x0000_s1026" o:spt="203" style="height:207.8pt;width:416.25pt;" coordsize="8325,4156">
            <o:lock v:ext="edit"/>
            <v:shape id="_x0000_s1027" o:spid="_x0000_s1027" o:spt="75" type="#_x0000_t75" style="position:absolute;left:14;top:15;height:4126;width:829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28" o:spid="_x0000_s1028" o:spt="202" type="#_x0000_t202" style="position:absolute;left:-20;top:-20;height:4196;width:83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8314" w:type="dxa"/>
                      <w:tblInd w:w="25" w:type="dxa"/>
                      <w:tblBorders>
                        <w:top w:val="single" w:color="5B9BD5" w:sz="4" w:space="0"/>
                        <w:left w:val="single" w:color="5B9BD5" w:sz="4" w:space="0"/>
                        <w:bottom w:val="single" w:color="5B9BD5" w:sz="4" w:space="0"/>
                        <w:right w:val="single" w:color="5B9BD5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8314"/>
                    </w:tblGrid>
                    <w:tr>
                      <w:tblPrEx>
                        <w:tblBorders>
                          <w:top w:val="single" w:color="5B9BD5" w:sz="4" w:space="0"/>
                          <w:left w:val="single" w:color="5B9BD5" w:sz="4" w:space="0"/>
                          <w:bottom w:val="single" w:color="5B9BD5" w:sz="4" w:space="0"/>
                          <w:right w:val="single" w:color="5B9BD5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4135" w:hRule="atLeast"/>
                      </w:trPr>
                      <w:tc>
                        <w:tcPr>
                          <w:tcW w:w="8314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316" w:line="216" w:lineRule="auto"/>
        <w:ind w:left="5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2.选择</w:t>
      </w:r>
      <w:r>
        <w:rPr>
          <w:rFonts w:ascii="仿宋" w:hAnsi="仿宋" w:eastAsia="仿宋" w:cs="仿宋"/>
          <w:color w:val="333333"/>
          <w:spacing w:val="-87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“学生用户”</w:t>
      </w:r>
      <w:r>
        <w:rPr>
          <w:rFonts w:ascii="仿宋" w:hAnsi="仿宋" w:eastAsia="仿宋" w:cs="仿宋"/>
          <w:color w:val="333333"/>
          <w:spacing w:val="-107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的身份进行登录。</w:t>
      </w:r>
    </w:p>
    <w:p>
      <w:pPr>
        <w:spacing w:before="29" w:line="3391" w:lineRule="exact"/>
        <w:ind w:firstLine="14"/>
      </w:pPr>
      <w:r>
        <w:rPr>
          <w:position w:val="-67"/>
        </w:rPr>
        <w:drawing>
          <wp:inline distT="0" distB="0" distL="0" distR="0">
            <wp:extent cx="5266690" cy="21532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5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2" w:line="370" w:lineRule="auto"/>
        <w:ind w:left="49" w:firstLine="55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3.进入登录页面后，使用</w:t>
      </w:r>
      <w:r>
        <w:rPr>
          <w:rFonts w:ascii="仿宋" w:hAnsi="仿宋" w:eastAsia="仿宋" w:cs="仿宋"/>
          <w:color w:val="FF0000"/>
          <w:spacing w:val="-5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学信网账号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进行登录。若</w:t>
      </w:r>
      <w:r>
        <w:rPr>
          <w:rFonts w:ascii="仿宋" w:hAnsi="仿宋" w:eastAsia="仿宋" w:cs="仿宋"/>
          <w:color w:val="333333"/>
          <w:spacing w:val="-5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忘记密码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，可</w:t>
      </w:r>
      <w:r>
        <w:rPr>
          <w:rFonts w:ascii="仿宋" w:hAnsi="仿宋" w:eastAsia="仿宋" w:cs="仿宋"/>
          <w:color w:val="333333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19"/>
          <w:sz w:val="28"/>
          <w:szCs w:val="28"/>
        </w:rPr>
        <w:t>点击“找回密码”来进行密码找回；若</w:t>
      </w:r>
      <w:r>
        <w:rPr>
          <w:rFonts w:ascii="仿宋" w:hAnsi="仿宋" w:eastAsia="仿宋" w:cs="仿宋"/>
          <w:color w:val="333333"/>
          <w:spacing w:val="-19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无学信网账号</w:t>
      </w:r>
      <w:r>
        <w:rPr>
          <w:rFonts w:ascii="仿宋" w:hAnsi="仿宋" w:eastAsia="仿宋" w:cs="仿宋"/>
          <w:color w:val="333333"/>
          <w:spacing w:val="-19"/>
          <w:sz w:val="28"/>
          <w:szCs w:val="28"/>
        </w:rPr>
        <w:t>，可</w:t>
      </w:r>
      <w:r>
        <w:rPr>
          <w:rFonts w:ascii="仿宋" w:hAnsi="仿宋" w:eastAsia="仿宋" w:cs="仿宋"/>
          <w:color w:val="333333"/>
          <w:spacing w:val="-20"/>
          <w:sz w:val="28"/>
          <w:szCs w:val="28"/>
        </w:rPr>
        <w:t>点击“注册”，</w:t>
      </w:r>
    </w:p>
    <w:p>
      <w:pPr>
        <w:spacing w:before="1" w:line="216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2"/>
          <w:sz w:val="28"/>
          <w:szCs w:val="28"/>
        </w:rPr>
        <w:t>按要求进行新账号注册。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906" w:h="16839"/>
          <w:pgMar w:top="1431" w:right="1724" w:bottom="1151" w:left="1785" w:header="0" w:footer="987" w:gutter="0"/>
          <w:cols w:space="720" w:num="1"/>
        </w:sectPr>
      </w:pPr>
    </w:p>
    <w:p>
      <w:pPr>
        <w:spacing w:before="140" w:line="5011" w:lineRule="exact"/>
        <w:ind w:firstLine="14"/>
      </w:pPr>
      <w:r>
        <w:rPr>
          <w:position w:val="-100"/>
        </w:rPr>
        <w:drawing>
          <wp:inline distT="0" distB="0" distL="0" distR="0">
            <wp:extent cx="5267960" cy="318198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467" cy="318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77" w:lineRule="auto"/>
      </w:pPr>
    </w:p>
    <w:p>
      <w:pPr>
        <w:spacing w:before="91" w:line="559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4"/>
          <w:position w:val="21"/>
          <w:sz w:val="28"/>
          <w:szCs w:val="28"/>
        </w:rPr>
        <w:t>4.登录成功后，若</w:t>
      </w:r>
      <w:r>
        <w:rPr>
          <w:rFonts w:ascii="仿宋" w:hAnsi="仿宋" w:eastAsia="仿宋" w:cs="仿宋"/>
          <w:spacing w:val="-4"/>
          <w:position w:val="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学生身份未核验</w:t>
      </w:r>
      <w:r>
        <w:rPr>
          <w:rFonts w:ascii="仿宋" w:hAnsi="仿宋" w:eastAsia="仿宋" w:cs="仿宋"/>
          <w:color w:val="333333"/>
          <w:spacing w:val="-4"/>
          <w:position w:val="21"/>
          <w:sz w:val="28"/>
          <w:szCs w:val="28"/>
        </w:rPr>
        <w:t>，则需要按要求在“学信档案”</w:t>
      </w:r>
    </w:p>
    <w:p>
      <w:pPr>
        <w:spacing w:line="216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页面中进行身份核验后再次重新登录。</w:t>
      </w:r>
    </w:p>
    <w:p>
      <w:pPr>
        <w:spacing w:before="115" w:line="3852" w:lineRule="exact"/>
        <w:ind w:firstLine="14"/>
      </w:pPr>
      <w:r>
        <w:rPr>
          <w:position w:val="-77"/>
        </w:rPr>
        <w:drawing>
          <wp:inline distT="0" distB="0" distL="0" distR="0">
            <wp:extent cx="5266690" cy="244602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8" w:line="370" w:lineRule="auto"/>
        <w:ind w:left="51" w:right="279" w:firstLine="54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5.若出现“未查到您的普通高等学校</w:t>
      </w:r>
      <w:r>
        <w:rPr>
          <w:rFonts w:ascii="仿宋" w:hAnsi="仿宋" w:eastAsia="仿宋" w:cs="仿宋"/>
          <w:color w:val="333333"/>
          <w:spacing w:val="-4"/>
          <w:sz w:val="28"/>
          <w:szCs w:val="28"/>
          <w14:textOutline w14:w="5103" w14:cap="sq" w14:cmpd="sng">
            <w14:solidFill>
              <w14:srgbClr w14:val="333333"/>
            </w14:solidFill>
            <w14:prstDash w14:val="solid"/>
            <w14:bevel/>
          </w14:textOutline>
        </w:rPr>
        <w:t>全日制在校生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学籍信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息，暂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时无法报名参赛”的信息，可以联系校赛负责人进行咨询，确认是否</w:t>
      </w:r>
    </w:p>
    <w:p>
      <w:pPr>
        <w:spacing w:before="2" w:line="214" w:lineRule="auto"/>
        <w:ind w:left="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1"/>
          <w:sz w:val="28"/>
          <w:szCs w:val="28"/>
        </w:rPr>
        <w:t>为全日制在校生、学信网账号是否有学籍信息等。</w:t>
      </w:r>
    </w:p>
    <w:p>
      <w:pPr>
        <w:spacing w:line="214" w:lineRule="auto"/>
        <w:rPr>
          <w:rFonts w:ascii="仿宋" w:hAnsi="仿宋" w:eastAsia="仿宋" w:cs="仿宋"/>
          <w:sz w:val="28"/>
          <w:szCs w:val="28"/>
        </w:rPr>
        <w:sectPr>
          <w:footerReference r:id="rId6" w:type="default"/>
          <w:pgSz w:w="11906" w:h="16839"/>
          <w:pgMar w:top="1431" w:right="1520" w:bottom="1152" w:left="1785" w:header="0" w:footer="987" w:gutter="0"/>
          <w:cols w:space="720" w:num="1"/>
        </w:sectPr>
      </w:pPr>
    </w:p>
    <w:p>
      <w:pPr>
        <w:spacing w:before="78" w:line="2645" w:lineRule="exact"/>
        <w:ind w:firstLine="731"/>
      </w:pPr>
      <w:r>
        <w:rPr>
          <w:position w:val="-52"/>
        </w:rPr>
        <w:drawing>
          <wp:inline distT="0" distB="0" distL="0" distR="0">
            <wp:extent cx="4358640" cy="16789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67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31" w:line="228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bookmarkStart w:id="2" w:name="bookmark6"/>
      <w:bookmarkEnd w:id="2"/>
      <w:bookmarkStart w:id="3" w:name="bookmark3"/>
      <w:bookmarkEnd w:id="3"/>
      <w:r>
        <w:rPr>
          <w:rFonts w:ascii="黑体" w:hAnsi="黑体" w:eastAsia="黑体" w:cs="黑体"/>
          <w:color w:val="333333"/>
          <w:spacing w:val="7"/>
          <w:sz w:val="31"/>
          <w:szCs w:val="31"/>
        </w:rPr>
        <w:t>二、报名参赛</w:t>
      </w:r>
    </w:p>
    <w:p>
      <w:pPr>
        <w:spacing w:before="227" w:line="561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4"/>
          <w:position w:val="21"/>
          <w:sz w:val="28"/>
          <w:szCs w:val="28"/>
        </w:rPr>
        <w:t>1.登录职规赛官网后，可点击页面左侧的“报名</w:t>
      </w:r>
      <w:r>
        <w:rPr>
          <w:rFonts w:ascii="仿宋" w:hAnsi="仿宋" w:eastAsia="仿宋" w:cs="仿宋"/>
          <w:color w:val="333333"/>
          <w:spacing w:val="-5"/>
          <w:position w:val="21"/>
          <w:sz w:val="28"/>
          <w:szCs w:val="28"/>
        </w:rPr>
        <w:t>信息”进入报名</w:t>
      </w:r>
    </w:p>
    <w:p>
      <w:pPr>
        <w:spacing w:line="217" w:lineRule="auto"/>
        <w:ind w:left="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页面，点击</w:t>
      </w:r>
      <w:r>
        <w:rPr>
          <w:rFonts w:ascii="仿宋" w:hAnsi="仿宋" w:eastAsia="仿宋" w:cs="仿宋"/>
          <w:color w:val="333333"/>
          <w:spacing w:val="-99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“</w:t>
      </w:r>
      <w:r>
        <w:rPr>
          <w:rFonts w:ascii="仿宋" w:hAnsi="仿宋" w:eastAsia="仿宋" w:cs="仿宋"/>
          <w:color w:val="333333"/>
          <w:spacing w:val="-105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5"/>
          <w:sz w:val="28"/>
          <w:szCs w:val="28"/>
        </w:rPr>
        <w:t>点击报名参赛”按钮填写报名信息。</w:t>
      </w:r>
    </w:p>
    <w:p>
      <w:pPr>
        <w:spacing w:before="135" w:line="4126" w:lineRule="exact"/>
        <w:ind w:firstLine="14"/>
      </w:pPr>
      <w:r>
        <w:rPr>
          <w:position w:val="-82"/>
        </w:rPr>
        <w:drawing>
          <wp:inline distT="0" distB="0" distL="0" distR="0">
            <wp:extent cx="5266690" cy="261937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5" w:lineRule="auto"/>
      </w:pPr>
    </w:p>
    <w:p>
      <w:pPr>
        <w:spacing w:before="91" w:line="369" w:lineRule="auto"/>
        <w:ind w:left="28" w:right="13" w:firstLine="5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2.填写报名信息时，可选择参赛赛道、参赛组别（就业赛道还需</w:t>
      </w:r>
      <w:r>
        <w:rPr>
          <w:rFonts w:ascii="仿宋" w:hAnsi="仿宋" w:eastAsia="仿宋" w:cs="仿宋"/>
          <w:color w:val="33333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选择分赛道</w:t>
      </w:r>
      <w:r>
        <w:rPr>
          <w:rFonts w:ascii="仿宋" w:hAnsi="仿宋" w:eastAsia="仿宋" w:cs="仿宋"/>
          <w:color w:val="333333"/>
          <w:spacing w:val="-10"/>
          <w:sz w:val="28"/>
          <w:szCs w:val="28"/>
        </w:rPr>
        <w:t>），</w:t>
      </w:r>
      <w:r>
        <w:rPr>
          <w:rFonts w:ascii="仿宋" w:hAnsi="仿宋" w:eastAsia="仿宋" w:cs="仿宋"/>
          <w:color w:val="333333"/>
          <w:spacing w:val="-3"/>
          <w:sz w:val="28"/>
          <w:szCs w:val="28"/>
        </w:rPr>
        <w:t>按要求完善信息，阅读并勾选“诚信声明</w:t>
      </w:r>
      <w:r>
        <w:rPr>
          <w:rFonts w:ascii="仿宋" w:hAnsi="仿宋" w:eastAsia="仿宋" w:cs="仿宋"/>
          <w:color w:val="333333"/>
          <w:spacing w:val="-4"/>
          <w:sz w:val="28"/>
          <w:szCs w:val="28"/>
        </w:rPr>
        <w:t>”后，点击</w:t>
      </w:r>
    </w:p>
    <w:p>
      <w:pPr>
        <w:spacing w:before="1" w:line="217" w:lineRule="auto"/>
        <w:ind w:left="4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“确认参赛”</w:t>
      </w:r>
      <w:r>
        <w:rPr>
          <w:rFonts w:ascii="仿宋" w:hAnsi="仿宋" w:eastAsia="仿宋" w:cs="仿宋"/>
          <w:color w:val="333333"/>
          <w:spacing w:val="-98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333333"/>
          <w:spacing w:val="-6"/>
          <w:sz w:val="28"/>
          <w:szCs w:val="28"/>
        </w:rPr>
        <w:t>即完成报名。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7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>
      <w:pPr>
        <w:spacing w:before="123" w:line="4126" w:lineRule="exact"/>
        <w:ind w:firstLine="14"/>
      </w:pPr>
      <w:r>
        <w:rPr>
          <w:position w:val="-82"/>
        </w:rPr>
        <w:drawing>
          <wp:inline distT="0" distB="0" distL="0" distR="0">
            <wp:extent cx="5266690" cy="261937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4" w:lineRule="auto"/>
      </w:pPr>
    </w:p>
    <w:p>
      <w:pPr>
        <w:spacing w:before="91" w:line="556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3.完成参赛报名后需等待校级管理员进行报名审核，审核通过后</w:t>
      </w:r>
    </w:p>
    <w:p>
      <w:pPr>
        <w:spacing w:line="217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才可进行校赛材料创建及提交。</w:t>
      </w:r>
    </w:p>
    <w:p>
      <w:pPr>
        <w:pStyle w:val="2"/>
        <w:spacing w:line="471" w:lineRule="auto"/>
      </w:pPr>
    </w:p>
    <w:p>
      <w:pPr>
        <w:spacing w:before="100" w:line="228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三、材料提交</w:t>
      </w:r>
    </w:p>
    <w:p>
      <w:pPr>
        <w:spacing w:before="259" w:line="232" w:lineRule="auto"/>
        <w:ind w:left="692"/>
        <w:rPr>
          <w:rFonts w:ascii="楷体" w:hAnsi="楷体" w:eastAsia="楷体" w:cs="楷体"/>
          <w:sz w:val="31"/>
          <w:szCs w:val="31"/>
        </w:rPr>
      </w:pPr>
      <w:bookmarkStart w:id="4" w:name="bookmark2"/>
      <w:bookmarkEnd w:id="4"/>
      <w:bookmarkStart w:id="5" w:name="bookmark4"/>
      <w:bookmarkEnd w:id="5"/>
      <w:r>
        <w:rPr>
          <w:rFonts w:ascii="楷体" w:hAnsi="楷体" w:eastAsia="楷体" w:cs="楷体"/>
          <w:color w:val="333333"/>
          <w:spacing w:val="6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（一）提交校赛材料</w:t>
      </w:r>
    </w:p>
    <w:p>
      <w:pPr>
        <w:spacing w:before="219" w:line="216" w:lineRule="auto"/>
        <w:ind w:left="6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1.校级管理员审核通过报名信息后，选手可提交校赛材料。</w:t>
      </w:r>
    </w:p>
    <w:p>
      <w:pPr>
        <w:spacing w:before="153" w:line="2548" w:lineRule="exact"/>
        <w:ind w:firstLine="14"/>
      </w:pPr>
      <w:r>
        <w:rPr>
          <w:position w:val="-50"/>
        </w:rPr>
        <w:drawing>
          <wp:inline distT="0" distB="0" distL="0" distR="0">
            <wp:extent cx="5266690" cy="161798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61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spacing w:before="1" w:line="3197" w:lineRule="exact"/>
        <w:ind w:firstLine="14"/>
      </w:pPr>
      <w:r>
        <w:rPr>
          <w:position w:val="-63"/>
        </w:rPr>
        <w:drawing>
          <wp:inline distT="0" distB="0" distL="0" distR="0">
            <wp:extent cx="5266690" cy="202946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02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7" w:lineRule="exact"/>
        <w:sectPr>
          <w:footerReference r:id="rId8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>
      <w:pPr>
        <w:spacing w:before="218" w:line="559" w:lineRule="exact"/>
        <w:ind w:right="74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2.就业赛道参赛选手提交参赛材料时，在“求职简历”步骤需前</w:t>
      </w:r>
    </w:p>
    <w:p>
      <w:pPr>
        <w:spacing w:line="216" w:lineRule="auto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往【国家大学生就业服务平台】完善简历信息，才可进行简历上传。</w:t>
      </w:r>
    </w:p>
    <w:p>
      <w:pPr>
        <w:spacing w:before="79" w:line="5172" w:lineRule="exact"/>
        <w:ind w:firstLine="14"/>
      </w:pPr>
      <w:r>
        <w:rPr>
          <w:position w:val="-103"/>
        </w:rPr>
        <w:drawing>
          <wp:inline distT="0" distB="0" distL="0" distR="0">
            <wp:extent cx="5262245" cy="328422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2371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1" w:line="3396" w:lineRule="exact"/>
        <w:ind w:firstLine="14"/>
      </w:pPr>
      <w:r>
        <w:rPr>
          <w:position w:val="-67"/>
        </w:rPr>
        <w:drawing>
          <wp:inline distT="0" distB="0" distL="0" distR="0">
            <wp:extent cx="5266690" cy="21558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56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02" w:line="624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0"/>
          <w:position w:val="26"/>
          <w:sz w:val="28"/>
          <w:szCs w:val="28"/>
        </w:rPr>
        <w:t>3.提交参赛材料过程中可进行“暂存”，暂存后还可再次“编辑”，</w:t>
      </w:r>
    </w:p>
    <w:p>
      <w:pPr>
        <w:spacing w:before="1" w:line="215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确认无误后可进行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“提交”操作。</w:t>
      </w:r>
    </w:p>
    <w:p>
      <w:pPr>
        <w:spacing w:before="297" w:line="624" w:lineRule="exact"/>
        <w:ind w:right="77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5"/>
          <w:position w:val="26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温馨提示：提交后无法再对参赛材料内容进行修改，请选手确认</w:t>
      </w:r>
    </w:p>
    <w:p>
      <w:pPr>
        <w:spacing w:line="216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后再行提交。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9" w:type="default"/>
          <w:pgSz w:w="11906" w:h="16839"/>
          <w:pgMar w:top="1431" w:right="1724" w:bottom="1150" w:left="1785" w:header="0" w:footer="987" w:gutter="0"/>
          <w:cols w:space="720" w:num="1"/>
        </w:sectPr>
      </w:pPr>
    </w:p>
    <w:p>
      <w:pPr>
        <w:spacing w:before="123" w:line="4126" w:lineRule="exact"/>
        <w:ind w:firstLine="14"/>
      </w:pPr>
      <w:r>
        <w:rPr>
          <w:position w:val="-82"/>
        </w:rPr>
        <w:drawing>
          <wp:inline distT="0" distB="0" distL="0" distR="0">
            <wp:extent cx="5266690" cy="261937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4" w:lineRule="auto"/>
      </w:pPr>
    </w:p>
    <w:p>
      <w:pPr>
        <w:spacing w:before="91" w:line="559" w:lineRule="exact"/>
        <w:ind w:left="59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4.如果显示校赛“审核不通过”，则参赛材料未被校赛管理员审</w:t>
      </w:r>
    </w:p>
    <w:p>
      <w:pPr>
        <w:spacing w:line="217" w:lineRule="auto"/>
        <w:ind w:left="2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核通过，不能继续参与校赛。</w:t>
      </w:r>
    </w:p>
    <w:p>
      <w:pPr>
        <w:spacing w:before="75" w:line="2674" w:lineRule="exact"/>
        <w:ind w:firstLine="14"/>
      </w:pPr>
      <w:r>
        <w:rPr>
          <w:position w:val="-53"/>
        </w:rPr>
        <w:drawing>
          <wp:inline distT="0" distB="0" distL="0" distR="0">
            <wp:extent cx="5266690" cy="169735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16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0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（二）提交省赛、国赛参赛材料</w:t>
      </w:r>
    </w:p>
    <w:p>
      <w:pPr>
        <w:spacing w:before="217" w:line="559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21"/>
          <w:sz w:val="28"/>
          <w:szCs w:val="28"/>
        </w:rPr>
        <w:t>1.若选手成功晋级到省赛，则个人页面会出现</w:t>
      </w:r>
      <w:r>
        <w:rPr>
          <w:rFonts w:ascii="仿宋" w:hAnsi="仿宋" w:eastAsia="仿宋" w:cs="仿宋"/>
          <w:spacing w:val="-87"/>
          <w:position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position w:val="21"/>
          <w:sz w:val="28"/>
          <w:szCs w:val="28"/>
        </w:rPr>
        <w:t>“创建省赛材料”</w:t>
      </w:r>
    </w:p>
    <w:p>
      <w:pPr>
        <w:spacing w:line="217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按钮，可进行省赛参赛材料的创建和提交。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10" w:type="default"/>
          <w:pgSz w:w="11906" w:h="16839"/>
          <w:pgMar w:top="1431" w:right="1565" w:bottom="1152" w:left="1785" w:header="0" w:footer="987" w:gutter="0"/>
          <w:cols w:space="720" w:num="1"/>
        </w:sectPr>
      </w:pPr>
    </w:p>
    <w:p>
      <w:pPr>
        <w:spacing w:before="123" w:line="4126" w:lineRule="exact"/>
        <w:ind w:firstLine="14"/>
      </w:pPr>
      <w:r>
        <w:rPr>
          <w:position w:val="-82"/>
        </w:rPr>
        <w:drawing>
          <wp:inline distT="0" distB="0" distL="0" distR="0">
            <wp:extent cx="5266690" cy="261937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1" w:lineRule="auto"/>
      </w:pPr>
    </w:p>
    <w:p>
      <w:pPr>
        <w:spacing w:before="91" w:line="559" w:lineRule="exact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2.若选手成功晋级到国赛，则会出现“创建国赛材料”按钮，可</w:t>
      </w:r>
    </w:p>
    <w:p>
      <w:pPr>
        <w:spacing w:line="217" w:lineRule="auto"/>
        <w:ind w:left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进行国赛参赛材料的创建和提交操作。</w:t>
      </w:r>
    </w:p>
    <w:p>
      <w:pPr>
        <w:spacing w:before="137" w:line="4126" w:lineRule="exact"/>
        <w:ind w:firstLine="14"/>
      </w:pPr>
      <w:r>
        <w:rPr>
          <w:position w:val="-82"/>
        </w:rPr>
        <w:drawing>
          <wp:inline distT="0" distB="0" distL="0" distR="0">
            <wp:extent cx="5266690" cy="261937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101" w:line="228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4"/>
          <w:sz w:val="31"/>
          <w:szCs w:val="31"/>
        </w:rPr>
        <w:t>四、选做功能</w:t>
      </w:r>
    </w:p>
    <w:p>
      <w:pPr>
        <w:spacing w:before="179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（一）生涯闯关</w:t>
      </w:r>
    </w:p>
    <w:p>
      <w:pPr>
        <w:spacing w:before="207" w:line="559" w:lineRule="exact"/>
        <w:ind w:right="1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1"/>
          <w:sz w:val="28"/>
          <w:szCs w:val="28"/>
        </w:rPr>
        <w:t>为帮助选手更好地了解生涯规划的路径和方法，大赛平台为</w:t>
      </w:r>
      <w:r>
        <w:rPr>
          <w:rFonts w:ascii="仿宋" w:hAnsi="仿宋" w:eastAsia="仿宋" w:cs="仿宋"/>
          <w:spacing w:val="-5"/>
          <w:position w:val="21"/>
          <w:sz w:val="28"/>
          <w:szCs w:val="28"/>
        </w:rPr>
        <w:t>所有</w:t>
      </w:r>
    </w:p>
    <w:p>
      <w:pPr>
        <w:spacing w:before="1" w:line="216" w:lineRule="auto"/>
        <w:ind w:left="2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选手提供</w:t>
      </w:r>
      <w:r>
        <w:rPr>
          <w:rFonts w:ascii="仿宋" w:hAnsi="仿宋" w:eastAsia="仿宋" w:cs="仿宋"/>
          <w:spacing w:val="-10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“生涯闯关”功能，选手可根据需要自主参与体验。</w:t>
      </w:r>
    </w:p>
    <w:p>
      <w:pPr>
        <w:spacing w:line="216" w:lineRule="auto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>
      <w:pPr>
        <w:spacing w:before="30" w:line="3379" w:lineRule="exact"/>
        <w:ind w:firstLine="14"/>
      </w:pPr>
      <w:r>
        <w:rPr>
          <w:position w:val="-67"/>
        </w:rPr>
        <w:drawing>
          <wp:inline distT="0" distB="0" distL="0" distR="0">
            <wp:extent cx="5266690" cy="21456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5" w:line="6204" w:lineRule="exact"/>
        <w:ind w:firstLine="14"/>
      </w:pPr>
      <w:r>
        <w:rPr>
          <w:position w:val="-124"/>
        </w:rPr>
        <w:drawing>
          <wp:inline distT="0" distB="0" distL="0" distR="0">
            <wp:extent cx="5274310" cy="393954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393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96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（二）职业测评</w:t>
      </w:r>
    </w:p>
    <w:p>
      <w:pPr>
        <w:spacing w:before="210" w:line="369" w:lineRule="auto"/>
        <w:ind w:left="33" w:right="13" w:firstLine="56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大赛平台为就业赛道中意向在企业就业的参赛选手，</w:t>
      </w:r>
      <w:r>
        <w:rPr>
          <w:rFonts w:ascii="仿宋" w:hAnsi="仿宋" w:eastAsia="仿宋" w:cs="仿宋"/>
          <w:spacing w:val="-5"/>
          <w:sz w:val="28"/>
          <w:szCs w:val="28"/>
        </w:rPr>
        <w:t>提供“职业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测评”功能，帮助选手更好地了解行业和企业职能，选手可根据需要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自主参与体验。（温馨提醒：就业赛道选手在校级管理员审核通过报</w:t>
      </w:r>
    </w:p>
    <w:p>
      <w:pPr>
        <w:spacing w:line="217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名信息后，才能看到</w:t>
      </w:r>
      <w:r>
        <w:rPr>
          <w:rFonts w:ascii="仿宋" w:hAnsi="仿宋" w:eastAsia="仿宋" w:cs="仿宋"/>
          <w:spacing w:val="-9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“职业测评”模块）</w:t>
      </w:r>
    </w:p>
    <w:p>
      <w:pPr>
        <w:spacing w:line="217" w:lineRule="auto"/>
        <w:rPr>
          <w:rFonts w:ascii="仿宋" w:hAnsi="仿宋" w:eastAsia="仿宋" w:cs="仿宋"/>
          <w:sz w:val="28"/>
          <w:szCs w:val="28"/>
        </w:rPr>
        <w:sectPr>
          <w:footerReference r:id="rId12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>
      <w:pPr>
        <w:spacing w:before="59" w:line="3312" w:lineRule="exact"/>
        <w:ind w:firstLine="14"/>
      </w:pPr>
      <w:r>
        <w:rPr>
          <w:position w:val="-66"/>
        </w:rPr>
        <w:drawing>
          <wp:inline distT="0" distB="0" distL="0" distR="0">
            <wp:extent cx="5266690" cy="210248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10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4" w:line="4126" w:lineRule="exact"/>
        <w:ind w:firstLine="14"/>
      </w:pPr>
      <w:r>
        <w:rPr>
          <w:position w:val="-82"/>
        </w:rPr>
        <w:drawing>
          <wp:inline distT="0" distB="0" distL="0" distR="0">
            <wp:extent cx="5266690" cy="261937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2619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13" w:type="default"/>
      <w:pgSz w:w="11906" w:h="16839"/>
      <w:pgMar w:top="1431" w:right="1785" w:bottom="1152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lMDQ0Njg1MTkwOGQxM2Q0NDRmMzljNzRkMjY2MTEifQ=="/>
  </w:docVars>
  <w:rsids>
    <w:rsidRoot w:val="00000000"/>
    <w:rsid w:val="257E1741"/>
    <w:rsid w:val="365966BA"/>
    <w:rsid w:val="4F5A0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media/image20.jpeg"/><Relationship Id="rId33" Type="http://schemas.openxmlformats.org/officeDocument/2006/relationships/image" Target="media/image19.jpeg"/><Relationship Id="rId32" Type="http://schemas.openxmlformats.org/officeDocument/2006/relationships/image" Target="media/image18.jpeg"/><Relationship Id="rId31" Type="http://schemas.openxmlformats.org/officeDocument/2006/relationships/image" Target="media/image17.jpeg"/><Relationship Id="rId30" Type="http://schemas.openxmlformats.org/officeDocument/2006/relationships/image" Target="media/image16.jpeg"/><Relationship Id="rId3" Type="http://schemas.openxmlformats.org/officeDocument/2006/relationships/footnotes" Target="footnotes.xml"/><Relationship Id="rId29" Type="http://schemas.openxmlformats.org/officeDocument/2006/relationships/image" Target="media/image15.jpeg"/><Relationship Id="rId28" Type="http://schemas.openxmlformats.org/officeDocument/2006/relationships/image" Target="media/image14.jpeg"/><Relationship Id="rId27" Type="http://schemas.openxmlformats.org/officeDocument/2006/relationships/image" Target="media/image13.jpeg"/><Relationship Id="rId26" Type="http://schemas.openxmlformats.org/officeDocument/2006/relationships/image" Target="media/image12.jpeg"/><Relationship Id="rId25" Type="http://schemas.openxmlformats.org/officeDocument/2006/relationships/image" Target="media/image11.jpeg"/><Relationship Id="rId24" Type="http://schemas.openxmlformats.org/officeDocument/2006/relationships/image" Target="media/image10.jpeg"/><Relationship Id="rId23" Type="http://schemas.openxmlformats.org/officeDocument/2006/relationships/image" Target="media/image9.jpeg"/><Relationship Id="rId22" Type="http://schemas.openxmlformats.org/officeDocument/2006/relationships/image" Target="media/image8.jpeg"/><Relationship Id="rId21" Type="http://schemas.openxmlformats.org/officeDocument/2006/relationships/image" Target="media/image7.jpe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jpeg"/><Relationship Id="rId17" Type="http://schemas.openxmlformats.org/officeDocument/2006/relationships/image" Target="media/image3.jpeg"/><Relationship Id="rId16" Type="http://schemas.openxmlformats.org/officeDocument/2006/relationships/image" Target="media/image2.jpeg"/><Relationship Id="rId15" Type="http://schemas.openxmlformats.org/officeDocument/2006/relationships/image" Target="media/image1.pn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2023-09-20T09:11:00Z</dcterms:created>
  <dc:creator>王小帅</dc:creator>
  <cp:lastModifiedBy>玮</cp:lastModifiedBy>
  <dcterms:modified xsi:type="dcterms:W3CDTF">2023-11-02T02:34:50Z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2023-10-31T17:33:27Z</vt:filetime>
  </property>
  <property fmtid="{D5CDD505-2E9C-101B-9397-08002B2CF9AE}" pid="4" name="KSOProductBuildVer">
    <vt:lpwstr>2052-12.1.0.15712</vt:lpwstr>
  </property>
  <property fmtid="{D5CDD505-2E9C-101B-9397-08002B2CF9AE}" pid="5" name="ICV">
    <vt:lpwstr>E4770C2215B542559A8D4C8291ECD9DA_12</vt:lpwstr>
  </property>
</Properties>
</file>