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829" w:tblpY="1950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9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立项编号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36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6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6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60"/>
          <w:sz w:val="44"/>
          <w:szCs w:val="44"/>
        </w:rPr>
        <w:t>自治区教育厅高等学校科学研究项目结题验收报告</w:t>
      </w:r>
    </w:p>
    <w:p>
      <w:bookmarkStart w:id="0" w:name="_GoBack"/>
      <w:bookmarkEnd w:id="0"/>
    </w:p>
    <w:p/>
    <w:p/>
    <w:p/>
    <w:p/>
    <w:p/>
    <w:p/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8"/>
        <w:gridCol w:w="5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课 </w:t>
            </w:r>
            <w:r>
              <w:rPr>
                <w:rFonts w:ascii="仿宋_GB2312" w:eastAsia="仿宋_GB2312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</w:rPr>
              <w:t>题  类  别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eastAsia="zh-CN"/>
              </w:rPr>
              <w:t>一般项目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eastAsia="zh-CN"/>
              </w:rPr>
              <w:t>优秀青年教师培育基金项目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楷体_GB2312" w:hAnsi="Times New Roman" w:eastAsia="楷体_GB2312" w:cs="Times New Roman"/>
                <w:sz w:val="28"/>
                <w:szCs w:val="28"/>
                <w:lang w:eastAsia="zh-CN"/>
              </w:rPr>
              <w:t>服务地方经济社会发展项目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课  题  名  称</w:t>
            </w:r>
            <w:r>
              <w:rPr>
                <w:rFonts w:hint="eastAsia" w:ascii="仿宋" w:eastAsia="仿宋"/>
                <w:sz w:val="32"/>
              </w:rPr>
              <w:t xml:space="preserve">  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w w:val="200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项目负责人姓名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单位名称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填  表  日  期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ascii="华文楷体" w:hAnsi="华文楷体" w:eastAsia="华文楷体" w:cs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宁夏回族自治区教育厅制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  <w:t>填  报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200"/>
        <w:jc w:val="center"/>
        <w:textAlignment w:val="auto"/>
        <w:rPr>
          <w:rFonts w:ascii="仿宋" w:hAnsi="仿宋" w:eastAsia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自治区教育厅</w:t>
      </w:r>
      <w:r>
        <w:rPr>
          <w:rFonts w:hint="eastAsia" w:ascii="仿宋_GB2312" w:hAnsi="仿宋_GB2312" w:eastAsia="仿宋_GB2312" w:cs="仿宋_GB2312"/>
          <w:sz w:val="32"/>
          <w:szCs w:val="32"/>
        </w:rPr>
        <w:t>高等学校科学研究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，均须认真填写《自治区教育厅高等学校科学研究项目结题验收报告》，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报告及研究成果证明附件相关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材料按规定时间报学校科研管理部门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及编号以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当年公布的立项文件为准，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填报的各项内容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数据必须是在项目研究期间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</w:rPr>
        <w:t>果。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4"/>
        </w:rPr>
      </w:pPr>
    </w:p>
    <w:p>
      <w:pPr>
        <w:rPr>
          <w:rFonts w:hint="default" w:ascii="黑体" w:hAnsi="黑体" w:eastAsia="黑体" w:cs="黑体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4"/>
        </w:rPr>
        <w:t>一、</w:t>
      </w:r>
      <w:r>
        <w:rPr>
          <w:rFonts w:hint="eastAsia" w:ascii="黑体" w:hAnsi="黑体" w:eastAsia="黑体" w:cs="黑体"/>
          <w:b w:val="0"/>
          <w:bCs w:val="0"/>
          <w:sz w:val="28"/>
          <w:szCs w:val="24"/>
          <w:lang w:val="en-US" w:eastAsia="zh-CN"/>
        </w:rPr>
        <w:t>项目信息表</w:t>
      </w:r>
    </w:p>
    <w:tbl>
      <w:tblPr>
        <w:tblStyle w:val="5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83"/>
        <w:gridCol w:w="828"/>
        <w:gridCol w:w="948"/>
        <w:gridCol w:w="1060"/>
        <w:gridCol w:w="1566"/>
        <w:gridCol w:w="1126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  <w:t xml:space="preserve">项目编号  </w:t>
            </w:r>
          </w:p>
        </w:tc>
        <w:tc>
          <w:tcPr>
            <w:tcW w:w="741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  <w:t>项目名称</w:t>
            </w:r>
          </w:p>
        </w:tc>
        <w:tc>
          <w:tcPr>
            <w:tcW w:w="74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  <w:t>项目类别</w:t>
            </w:r>
          </w:p>
        </w:tc>
        <w:tc>
          <w:tcPr>
            <w:tcW w:w="74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□一般项目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优秀青年教师培育基金项目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服务地方经济社会发展项目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1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  <w:t>研究成果</w:t>
            </w:r>
          </w:p>
        </w:tc>
        <w:tc>
          <w:tcPr>
            <w:tcW w:w="7411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□论文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□专著 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研究报告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咨询报告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新产品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□新工艺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计算机软件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  <w:t>项 目 负 责 人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  <w:t>院系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  <w:t>批准经费（万元）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  <w:t>学科门类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  <w:t>项目团队成员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  <w:t>姓  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  <w:t>别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  <w:t>出生年月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  <w:t>所在单位</w:t>
            </w: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  <w:t>承 担 的 主 要 工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项目完成情况</w:t>
      </w:r>
    </w:p>
    <w:tbl>
      <w:tblPr>
        <w:tblStyle w:val="5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9" w:hRule="atLeast"/>
          <w:jc w:val="center"/>
        </w:trPr>
        <w:tc>
          <w:tcPr>
            <w:tcW w:w="9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1"/>
                <w:szCs w:val="21"/>
                <w:lang w:val="en-US"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1"/>
                <w:szCs w:val="21"/>
              </w:rPr>
              <w:t>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1"/>
                <w:szCs w:val="21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1"/>
                <w:szCs w:val="21"/>
              </w:rPr>
              <w:t>以下提纲撰写，要求内容详实、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1"/>
                <w:szCs w:val="21"/>
                <w:lang w:eastAsia="zh-CN"/>
              </w:rPr>
              <w:t>突出重点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1"/>
                <w:szCs w:val="21"/>
                <w:lang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1"/>
                <w:szCs w:val="21"/>
                <w:lang w:val="en-US" w:eastAsia="zh-CN"/>
              </w:rPr>
              <w:t>2000字内。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ind w:firstLine="421" w:firstLineChars="20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完成情况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（项目完成情况，与预期目标相比，存在的问题与解决方法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ind w:firstLine="421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二、创新之处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（在学术思想、学术观点、研究方法等方面的创新）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ind w:firstLine="421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三、学术价值及应用前景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（研究成果的学术价值、应用前景及成果转化情况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1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附：成果目录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（分条表述，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发表论文需注明作者、刊物年期、出版社、出版日期。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咨询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报告、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政府决策采纳、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新技术、新产品需有使用单位或专业鉴定部门意见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作为附件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经费决算表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（单位：万元）</w:t>
      </w:r>
    </w:p>
    <w:tbl>
      <w:tblPr>
        <w:tblStyle w:val="5"/>
        <w:tblpPr w:leftFromText="180" w:rightFromText="180" w:vertAnchor="text" w:horzAnchor="page" w:tblpXSpec="center" w:tblpY="204"/>
        <w:tblOverlap w:val="never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78"/>
        <w:gridCol w:w="3803"/>
        <w:gridCol w:w="1248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60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经费支出科目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预算金额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支出金额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设备费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含实验设备、计算类仪器设备和软件工具等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业务费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含材料费、测试化验加工费、燃料动力费、出版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/文献/信息传播/知识产权事务费、会议/差旅/国际合作交流费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及其他支出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劳务费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含专家咨询费和劳务费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90" w:firstLineChars="9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 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成本补偿与人员绩效激励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含公共管理费与绩效支出等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3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3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90" w:firstLineChars="9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 计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60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520" w:firstLineChars="1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总金额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60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520" w:firstLineChars="1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结余经费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  <w:jc w:val="center"/>
        </w:trPr>
        <w:tc>
          <w:tcPr>
            <w:tcW w:w="87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项目负责人（签章） 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学校财务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（签章）  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 xml:space="preserve"> 日            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 xml:space="preserve">　 年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 xml:space="preserve">  日      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审核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意见</w:t>
      </w:r>
    </w:p>
    <w:tbl>
      <w:tblPr>
        <w:tblStyle w:val="6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验收承诺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8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结题验收报告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内容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与研究成果相关证明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真实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有效，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不存在任何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科研诚信、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科技安全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意识形态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及知识产权纠纷等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问题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80" w:firstLineChars="18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项目负责人（签字）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1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二、专家组验收意见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8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90" w:firstLineChars="19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专家组组长（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签章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0" w:firstLine="169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、学校科研管理部门意见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8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90" w:firstLineChars="19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90" w:firstLineChars="19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90" w:firstLineChars="19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科研管理部门（公章）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1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、自治区教育厅意见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8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1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1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1" w:rightChars="0" w:firstLine="4200" w:firstLineChars="20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部门（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 xml:space="preserve">公章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1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  <w:t>年   月   日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JK JP Regular">
    <w:panose1 w:val="020B0500000000000000"/>
    <w:charset w:val="86"/>
    <w:family w:val="modern"/>
    <w:pitch w:val="default"/>
    <w:sig w:usb0="3000008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NDYwODA0OGZiMjcyOTk5OThmODRmYTA4M2UyMjkifQ=="/>
  </w:docVars>
  <w:rsids>
    <w:rsidRoot w:val="007E053B"/>
    <w:rsid w:val="00024590"/>
    <w:rsid w:val="0003678B"/>
    <w:rsid w:val="00050A10"/>
    <w:rsid w:val="00052EF6"/>
    <w:rsid w:val="00073156"/>
    <w:rsid w:val="000814FD"/>
    <w:rsid w:val="000B7BE4"/>
    <w:rsid w:val="000C7C5C"/>
    <w:rsid w:val="000D1007"/>
    <w:rsid w:val="00106E95"/>
    <w:rsid w:val="00111F93"/>
    <w:rsid w:val="00113C02"/>
    <w:rsid w:val="00123E4E"/>
    <w:rsid w:val="001357EE"/>
    <w:rsid w:val="00144DB0"/>
    <w:rsid w:val="001579DC"/>
    <w:rsid w:val="00162860"/>
    <w:rsid w:val="001677AD"/>
    <w:rsid w:val="00181DA6"/>
    <w:rsid w:val="0018644A"/>
    <w:rsid w:val="001A38D6"/>
    <w:rsid w:val="001C3909"/>
    <w:rsid w:val="001F4015"/>
    <w:rsid w:val="00201BE8"/>
    <w:rsid w:val="002101FC"/>
    <w:rsid w:val="00226E4C"/>
    <w:rsid w:val="00242752"/>
    <w:rsid w:val="00242B8B"/>
    <w:rsid w:val="00255895"/>
    <w:rsid w:val="00257513"/>
    <w:rsid w:val="0026257E"/>
    <w:rsid w:val="00266506"/>
    <w:rsid w:val="00277F8E"/>
    <w:rsid w:val="002A60AE"/>
    <w:rsid w:val="002C438E"/>
    <w:rsid w:val="002C7CDA"/>
    <w:rsid w:val="00310FD6"/>
    <w:rsid w:val="00317401"/>
    <w:rsid w:val="00326E80"/>
    <w:rsid w:val="003526D1"/>
    <w:rsid w:val="00355C86"/>
    <w:rsid w:val="00357196"/>
    <w:rsid w:val="00360784"/>
    <w:rsid w:val="003A40E0"/>
    <w:rsid w:val="003A65CE"/>
    <w:rsid w:val="003D3220"/>
    <w:rsid w:val="00443C73"/>
    <w:rsid w:val="004811EC"/>
    <w:rsid w:val="004A10CA"/>
    <w:rsid w:val="004A2DBC"/>
    <w:rsid w:val="004A3D7F"/>
    <w:rsid w:val="004B5DD1"/>
    <w:rsid w:val="004D7E95"/>
    <w:rsid w:val="00500AB2"/>
    <w:rsid w:val="005A152B"/>
    <w:rsid w:val="005B63D6"/>
    <w:rsid w:val="00601C1F"/>
    <w:rsid w:val="00622F85"/>
    <w:rsid w:val="00627A13"/>
    <w:rsid w:val="00644D1D"/>
    <w:rsid w:val="00673881"/>
    <w:rsid w:val="006B60AE"/>
    <w:rsid w:val="006D37BE"/>
    <w:rsid w:val="006E71D1"/>
    <w:rsid w:val="00713D33"/>
    <w:rsid w:val="00741C0E"/>
    <w:rsid w:val="00770347"/>
    <w:rsid w:val="00773DDF"/>
    <w:rsid w:val="007767F3"/>
    <w:rsid w:val="00777EBF"/>
    <w:rsid w:val="00795577"/>
    <w:rsid w:val="007C1D27"/>
    <w:rsid w:val="007C1E2A"/>
    <w:rsid w:val="007E053B"/>
    <w:rsid w:val="008557D8"/>
    <w:rsid w:val="0086639C"/>
    <w:rsid w:val="008A3218"/>
    <w:rsid w:val="008A5D41"/>
    <w:rsid w:val="008B25C1"/>
    <w:rsid w:val="008C1141"/>
    <w:rsid w:val="008D0CF7"/>
    <w:rsid w:val="00912AFB"/>
    <w:rsid w:val="0091673D"/>
    <w:rsid w:val="00955A63"/>
    <w:rsid w:val="00956704"/>
    <w:rsid w:val="009942EE"/>
    <w:rsid w:val="009B34E5"/>
    <w:rsid w:val="009C1BF7"/>
    <w:rsid w:val="009C20A6"/>
    <w:rsid w:val="009F7404"/>
    <w:rsid w:val="00A103EF"/>
    <w:rsid w:val="00A16FFC"/>
    <w:rsid w:val="00A237D3"/>
    <w:rsid w:val="00A367FF"/>
    <w:rsid w:val="00A51353"/>
    <w:rsid w:val="00A562F5"/>
    <w:rsid w:val="00A6545D"/>
    <w:rsid w:val="00A70A3B"/>
    <w:rsid w:val="00A922B9"/>
    <w:rsid w:val="00AB2E37"/>
    <w:rsid w:val="00AC7E04"/>
    <w:rsid w:val="00AF17F6"/>
    <w:rsid w:val="00AF1F89"/>
    <w:rsid w:val="00B074C6"/>
    <w:rsid w:val="00B20298"/>
    <w:rsid w:val="00B232F4"/>
    <w:rsid w:val="00B26ACE"/>
    <w:rsid w:val="00B3646D"/>
    <w:rsid w:val="00B36A45"/>
    <w:rsid w:val="00B3768E"/>
    <w:rsid w:val="00B53620"/>
    <w:rsid w:val="00B700AC"/>
    <w:rsid w:val="00BA0CC2"/>
    <w:rsid w:val="00BA1B23"/>
    <w:rsid w:val="00BA4847"/>
    <w:rsid w:val="00BD1BB0"/>
    <w:rsid w:val="00BD4493"/>
    <w:rsid w:val="00BF3BE3"/>
    <w:rsid w:val="00BF3DBB"/>
    <w:rsid w:val="00C22BC5"/>
    <w:rsid w:val="00C45193"/>
    <w:rsid w:val="00C640DA"/>
    <w:rsid w:val="00C94C08"/>
    <w:rsid w:val="00CC4780"/>
    <w:rsid w:val="00CD5E16"/>
    <w:rsid w:val="00CE5A2C"/>
    <w:rsid w:val="00CF07DE"/>
    <w:rsid w:val="00CF6287"/>
    <w:rsid w:val="00D60863"/>
    <w:rsid w:val="00D81D4D"/>
    <w:rsid w:val="00DA6FC8"/>
    <w:rsid w:val="00DE0543"/>
    <w:rsid w:val="00E07EE9"/>
    <w:rsid w:val="00E45B6A"/>
    <w:rsid w:val="00E76FB4"/>
    <w:rsid w:val="00E77A4C"/>
    <w:rsid w:val="00E866B3"/>
    <w:rsid w:val="00EC1F49"/>
    <w:rsid w:val="00EE7A0D"/>
    <w:rsid w:val="00EF3ECE"/>
    <w:rsid w:val="00F03558"/>
    <w:rsid w:val="00F13D8D"/>
    <w:rsid w:val="00F31F78"/>
    <w:rsid w:val="00F32667"/>
    <w:rsid w:val="00F400C2"/>
    <w:rsid w:val="00F53399"/>
    <w:rsid w:val="00F62808"/>
    <w:rsid w:val="00F731FB"/>
    <w:rsid w:val="00FA0872"/>
    <w:rsid w:val="00FC0AA2"/>
    <w:rsid w:val="00FC7CF0"/>
    <w:rsid w:val="00FE34C0"/>
    <w:rsid w:val="00FF473F"/>
    <w:rsid w:val="01334050"/>
    <w:rsid w:val="037B45F7"/>
    <w:rsid w:val="057F235C"/>
    <w:rsid w:val="05EE2A42"/>
    <w:rsid w:val="070013DF"/>
    <w:rsid w:val="096A4808"/>
    <w:rsid w:val="0E0578E3"/>
    <w:rsid w:val="0E852A7C"/>
    <w:rsid w:val="0E8C339C"/>
    <w:rsid w:val="10473E62"/>
    <w:rsid w:val="13E178B2"/>
    <w:rsid w:val="14236387"/>
    <w:rsid w:val="166F0943"/>
    <w:rsid w:val="18B9187B"/>
    <w:rsid w:val="1A633C55"/>
    <w:rsid w:val="1AE313E9"/>
    <w:rsid w:val="1BF37822"/>
    <w:rsid w:val="1C5855B3"/>
    <w:rsid w:val="1F132604"/>
    <w:rsid w:val="1F6014AB"/>
    <w:rsid w:val="21436CCA"/>
    <w:rsid w:val="21696E53"/>
    <w:rsid w:val="22B34F54"/>
    <w:rsid w:val="236F44A5"/>
    <w:rsid w:val="24651B54"/>
    <w:rsid w:val="24B0645D"/>
    <w:rsid w:val="269F59E4"/>
    <w:rsid w:val="28487499"/>
    <w:rsid w:val="2B830CED"/>
    <w:rsid w:val="2BA704D5"/>
    <w:rsid w:val="2CEE0A10"/>
    <w:rsid w:val="2DE13A49"/>
    <w:rsid w:val="2DFEB2EF"/>
    <w:rsid w:val="2ED2A9BA"/>
    <w:rsid w:val="2ED80F0F"/>
    <w:rsid w:val="2EED458F"/>
    <w:rsid w:val="32D31365"/>
    <w:rsid w:val="343414C9"/>
    <w:rsid w:val="37FF0ED2"/>
    <w:rsid w:val="3AD56EF2"/>
    <w:rsid w:val="3B3FB47A"/>
    <w:rsid w:val="3C8F33BD"/>
    <w:rsid w:val="3D633BAF"/>
    <w:rsid w:val="3E9A77FF"/>
    <w:rsid w:val="3EEB139D"/>
    <w:rsid w:val="3F2A0366"/>
    <w:rsid w:val="41707931"/>
    <w:rsid w:val="41F73B1E"/>
    <w:rsid w:val="46752171"/>
    <w:rsid w:val="47CB548D"/>
    <w:rsid w:val="48E22165"/>
    <w:rsid w:val="4BA10F5B"/>
    <w:rsid w:val="4D707179"/>
    <w:rsid w:val="4D784E5B"/>
    <w:rsid w:val="4DFC71CA"/>
    <w:rsid w:val="53346998"/>
    <w:rsid w:val="55626334"/>
    <w:rsid w:val="55FD218B"/>
    <w:rsid w:val="569370FD"/>
    <w:rsid w:val="56CE321B"/>
    <w:rsid w:val="5A3B0011"/>
    <w:rsid w:val="5AD817CE"/>
    <w:rsid w:val="5BEF6872"/>
    <w:rsid w:val="5E462A9F"/>
    <w:rsid w:val="5EAD4F17"/>
    <w:rsid w:val="5ECB6B6F"/>
    <w:rsid w:val="60FE708C"/>
    <w:rsid w:val="61FA1D0C"/>
    <w:rsid w:val="62EB34CA"/>
    <w:rsid w:val="662B4E40"/>
    <w:rsid w:val="66FD47F7"/>
    <w:rsid w:val="676C5F4C"/>
    <w:rsid w:val="687A0E7A"/>
    <w:rsid w:val="6B6432B4"/>
    <w:rsid w:val="6B7D0D4F"/>
    <w:rsid w:val="6DD2470A"/>
    <w:rsid w:val="6DE481D2"/>
    <w:rsid w:val="6DEBDD27"/>
    <w:rsid w:val="6F541B76"/>
    <w:rsid w:val="714B3B9E"/>
    <w:rsid w:val="72932477"/>
    <w:rsid w:val="759D13B8"/>
    <w:rsid w:val="767402A5"/>
    <w:rsid w:val="776A3466"/>
    <w:rsid w:val="77894FD1"/>
    <w:rsid w:val="77C788D7"/>
    <w:rsid w:val="7BFA0E43"/>
    <w:rsid w:val="7DBF061F"/>
    <w:rsid w:val="7DF55818"/>
    <w:rsid w:val="7E7F0516"/>
    <w:rsid w:val="7EE463AF"/>
    <w:rsid w:val="AD7D8A76"/>
    <w:rsid w:val="BBFF2FCC"/>
    <w:rsid w:val="BF7F94BC"/>
    <w:rsid w:val="DD725583"/>
    <w:rsid w:val="DDFD9208"/>
    <w:rsid w:val="DF3FC14D"/>
    <w:rsid w:val="E76F77DC"/>
    <w:rsid w:val="EF7F2E4A"/>
    <w:rsid w:val="EFDD4D34"/>
    <w:rsid w:val="FBEFB09C"/>
    <w:rsid w:val="FDAD54BC"/>
    <w:rsid w:val="FFEF1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Noto Sans CJK JP Regular" w:hAnsi="Noto Sans CJK JP Regular" w:eastAsia="Noto Sans CJK JP Regular" w:cs="Noto Sans CJK JP Regul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7</Pages>
  <Words>1037</Words>
  <Characters>1071</Characters>
  <Lines>10</Lines>
  <Paragraphs>3</Paragraphs>
  <TotalTime>3</TotalTime>
  <ScaleCrop>false</ScaleCrop>
  <LinksUpToDate>false</LinksUpToDate>
  <CharactersWithSpaces>1464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2010-06-02T17:28:00Z</dcterms:created>
  <dc:creator>MC SYSTEM</dc:creator>
  <cp:lastModifiedBy>jyt</cp:lastModifiedBy>
  <cp:lastPrinted>2023-11-06T14:53:45Z</cp:lastPrinted>
  <dcterms:modified xsi:type="dcterms:W3CDTF">2023-11-06T14:53:52Z</dcterms:modified>
  <dc:title>咸宁学院科研项目验收办法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EB7959BD48723AF7808D4865A97912B9</vt:lpwstr>
  </property>
</Properties>
</file>